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645D3" w14:textId="697B35E5" w:rsidR="00FE74DC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BF62EC">
        <w:rPr>
          <w:rFonts w:ascii="Times New Roman" w:hAnsi="Times New Roman" w:cs="Times New Roman"/>
          <w:color w:val="000000" w:themeColor="text1"/>
          <w:sz w:val="22"/>
        </w:rPr>
        <w:t>Załącznik B.59</w:t>
      </w:r>
    </w:p>
    <w:p w14:paraId="78774D10" w14:textId="77777777" w:rsidR="00BF62EC" w:rsidRPr="00BF62EC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694345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694345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694345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694345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694345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694345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niwolumab;</w:t>
            </w:r>
          </w:p>
          <w:p w14:paraId="27298168" w14:textId="15F25B43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pembrolizumab;</w:t>
            </w:r>
          </w:p>
          <w:p w14:paraId="65323299" w14:textId="2A885F7B" w:rsidR="00F979AD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niwolumab w skojarzeniu z ipilimumabem;</w:t>
            </w:r>
          </w:p>
          <w:p w14:paraId="65D480F1" w14:textId="3DA5C8D2" w:rsidR="001371BE" w:rsidRPr="00BF62EC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wemurafenib w skojarzeniu z kobimetynibem</w:t>
            </w:r>
            <w:r w:rsidR="00D90194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BF62EC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enkorafenib</w:t>
            </w:r>
            <w:r w:rsidR="000577CE" w:rsidRPr="00BF62EC">
              <w:rPr>
                <w:rFonts w:ascii="Times New Roman" w:hAnsi="Times New Roman" w:cs="Times New Roman"/>
                <w:i/>
                <w:iCs/>
              </w:rPr>
              <w:t xml:space="preserve"> w skojarzeniu z binimet</w:t>
            </w:r>
            <w:r w:rsidR="001371BE" w:rsidRPr="00BF62EC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BF62EC">
              <w:rPr>
                <w:rFonts w:ascii="Times New Roman" w:hAnsi="Times New Roman" w:cs="Times New Roman"/>
                <w:i/>
                <w:iCs/>
              </w:rPr>
              <w:t>nibem</w:t>
            </w:r>
            <w:r w:rsidRPr="00BF62EC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BF62EC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dabrafenib w skojarzeniu z trametynibem;</w:t>
            </w:r>
          </w:p>
          <w:p w14:paraId="62DFDEA7" w14:textId="14151F8C" w:rsidR="00F979AD" w:rsidRPr="00BF62EC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niwolumab w skojarzeniu z relatlimabem</w:t>
            </w:r>
            <w:r w:rsidR="00D90194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694345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694345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694345">
              <w:rPr>
                <w:rFonts w:ascii="Times New Roman" w:hAnsi="Times New Roman" w:cs="Times New Roman"/>
                <w:szCs w:val="20"/>
              </w:rPr>
              <w:t>finansuje</w:t>
            </w:r>
            <w:r w:rsidRPr="00694345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694345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694345">
              <w:rPr>
                <w:rFonts w:ascii="Times New Roman" w:hAnsi="Times New Roman" w:cs="Times New Roman"/>
                <w:szCs w:val="20"/>
              </w:rPr>
              <w:t>e</w:t>
            </w:r>
            <w:r w:rsidRPr="00694345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niwolumab;</w:t>
            </w:r>
          </w:p>
          <w:p w14:paraId="3F8E9E6B" w14:textId="0DAF134C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pembrolizumab;</w:t>
            </w:r>
          </w:p>
          <w:p w14:paraId="19EF1C0C" w14:textId="16E63A0C" w:rsidR="000577CE" w:rsidRPr="00BF62EC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r w:rsidRPr="00BF62EC">
              <w:rPr>
                <w:rFonts w:ascii="Times New Roman" w:hAnsi="Times New Roman" w:cs="Times New Roman"/>
                <w:i/>
                <w:iCs/>
              </w:rPr>
              <w:t>dabrafenib w skojarzeniu z tramet</w:t>
            </w:r>
            <w:r w:rsidR="001371BE" w:rsidRPr="00BF62EC">
              <w:rPr>
                <w:rFonts w:ascii="Times New Roman" w:hAnsi="Times New Roman" w:cs="Times New Roman"/>
                <w:i/>
                <w:iCs/>
              </w:rPr>
              <w:t>y</w:t>
            </w:r>
            <w:r w:rsidRPr="00BF62EC">
              <w:rPr>
                <w:rFonts w:ascii="Times New Roman" w:hAnsi="Times New Roman" w:cs="Times New Roman"/>
                <w:i/>
                <w:iCs/>
              </w:rPr>
              <w:t>nibem.</w:t>
            </w:r>
          </w:p>
          <w:p w14:paraId="47780C44" w14:textId="77777777" w:rsidR="00E20D2D" w:rsidRPr="00694345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694345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694345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694345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694345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694345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4EDA62DC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wiek 18 lat i powyżej</w:t>
            </w:r>
            <w:r w:rsidR="007F6ED8" w:rsidRPr="00694345">
              <w:rPr>
                <w:rFonts w:ascii="Times New Roman" w:hAnsi="Times New Roman" w:cs="Times New Roman"/>
              </w:rPr>
              <w:t xml:space="preserve"> (dla  terapii niwolumabem w skojarzeniu z relatlimabem wiek 12 lat i powyżej);</w:t>
            </w:r>
          </w:p>
          <w:p w14:paraId="2676301E" w14:textId="20EC966C" w:rsidR="0044446F" w:rsidRPr="00694345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694345">
              <w:rPr>
                <w:rFonts w:ascii="Times New Roman" w:hAnsi="Times New Roman" w:cs="Times New Roman"/>
              </w:rPr>
              <w:t>śluzowych:</w:t>
            </w:r>
          </w:p>
          <w:p w14:paraId="04D28722" w14:textId="773178EA" w:rsidR="00937D68" w:rsidRPr="00694345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stadium </w:t>
            </w:r>
            <w:r w:rsidR="00937D68" w:rsidRPr="00694345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694345">
              <w:rPr>
                <w:rFonts w:ascii="Times New Roman" w:hAnsi="Times New Roman" w:cs="Times New Roman"/>
              </w:rPr>
              <w:t>III (nieoperacyjny) lub IV – dla terapii niwolumabem lub pembrolizumabem lub niwolumabem w skojarzeniu z ipilimumabem lub niwolumabem z relatlimabem lub wemurafenibem z kobimetynibem lub dabrafenibem z tramety</w:t>
            </w:r>
            <w:r w:rsidR="00555F25">
              <w:rPr>
                <w:rFonts w:ascii="Times New Roman" w:hAnsi="Times New Roman" w:cs="Times New Roman"/>
              </w:rPr>
              <w:t>n</w:t>
            </w:r>
            <w:r w:rsidR="0044446F" w:rsidRPr="00694345">
              <w:rPr>
                <w:rFonts w:ascii="Times New Roman" w:hAnsi="Times New Roman" w:cs="Times New Roman"/>
              </w:rPr>
              <w:t>ibem lub enkorafenibem z binimetynibem</w:t>
            </w:r>
            <w:r w:rsidR="00D90194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Pr="00694345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4446F" w:rsidRPr="00694345">
              <w:rPr>
                <w:rFonts w:ascii="Times New Roman" w:hAnsi="Times New Roman" w:cs="Times New Roman"/>
              </w:rPr>
              <w:t>o całkowitym wycięciu w stopniu zaawansowania III (dla terapii uzupełniającej niwolumabem lub pembrolizumabem lub dabrafenibem z trametynibem) lub z przerzutami odległymi (tylko dla terapii uzupełniającej niwolumabem);</w:t>
            </w:r>
          </w:p>
          <w:p w14:paraId="52FEDAD1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B835B96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możliwa ocena odpowiedzi na leczenie zmian nowotworowych według aktualnej klasyfikacji RECIST</w:t>
            </w:r>
            <w:r w:rsidR="006E2AFB">
              <w:rPr>
                <w:rFonts w:ascii="Times New Roman" w:hAnsi="Times New Roman" w:cs="Times New Roman"/>
              </w:rPr>
              <w:t xml:space="preserve"> –</w:t>
            </w:r>
            <w:r w:rsidR="006846DB">
              <w:rPr>
                <w:rFonts w:ascii="Times New Roman" w:hAnsi="Times New Roman" w:cs="Times New Roman"/>
              </w:rPr>
              <w:t xml:space="preserve"> nie</w:t>
            </w:r>
            <w:r w:rsidR="006E2AFB">
              <w:rPr>
                <w:rFonts w:ascii="Times New Roman" w:hAnsi="Times New Roman" w:cs="Times New Roman"/>
              </w:rPr>
              <w:t xml:space="preserve"> dotyczy leczenia </w:t>
            </w:r>
            <w:r w:rsidR="006846DB">
              <w:rPr>
                <w:rFonts w:ascii="Times New Roman" w:hAnsi="Times New Roman" w:cs="Times New Roman"/>
              </w:rPr>
              <w:t>uzupełniającego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nieobecność istotnych schorzeń współistniejących lub stanów klinicznych stanowiących przeciwwskazanie do terapii, stwierdzonych przez lekarza prowadzącego w oparciu o aktualne ChPL;</w:t>
            </w:r>
          </w:p>
          <w:p w14:paraId="60D891A4" w14:textId="23F56049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nieobecność aktywnych przerzutów w ośrodkowym układzie nerwowym (dopuszczalne wcześniejsze </w:t>
            </w:r>
            <w:r w:rsidRPr="00694345">
              <w:rPr>
                <w:rFonts w:ascii="Times New Roman" w:hAnsi="Times New Roman" w:cs="Times New Roman"/>
              </w:rPr>
              <w:lastRenderedPageBreak/>
              <w:t>wycięcie przerzutów lub stereotaktyczna radioterapia, o ile po leczeniu utrzymuje się stan bezobjawowy);</w:t>
            </w:r>
          </w:p>
          <w:p w14:paraId="09C8DDAF" w14:textId="77777777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nieobecność innych nowotworów niekontrolowanych leczeniem;</w:t>
            </w:r>
          </w:p>
          <w:p w14:paraId="25D32F0B" w14:textId="77777777" w:rsidR="002D762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zgoda pacjenta na prowadzenie antykoncepcji zgodnie z aktualną ChPL;</w:t>
            </w:r>
          </w:p>
          <w:p w14:paraId="7ADC6447" w14:textId="0147429D" w:rsidR="00D6514E" w:rsidRPr="00694345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BF62EC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694345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694345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 lub pembrolizumabem lub terapii skojarzonej niwolumabem z ipilimumabem lub terapii skojarzonej niwolumabem z relatli</w:t>
            </w:r>
            <w:r w:rsidR="002D762E"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</w:p>
          <w:p w14:paraId="07011BAA" w14:textId="2CE2F841" w:rsidR="00E815A3" w:rsidRPr="00694345" w:rsidRDefault="00E815A3" w:rsidP="00BF62E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brak wcześniejszego leczenia za pomocą przeciwciał monoklonalnych anty-PD-1 (z wyjątkiem skojarzenia z ipilimumabem, gdy leczenie zakończono z powodu toksyczności ipilimumabu);</w:t>
            </w:r>
          </w:p>
          <w:p w14:paraId="2BCC7921" w14:textId="306E1DE7" w:rsidR="0085092D" w:rsidRPr="00694345" w:rsidRDefault="0085092D" w:rsidP="00BF62E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brak wcześniejszego leczenia farmakologicznego czerniaka skóry – za farmakologiczne leczenie systemowe nie uznaje się uzupełniającego leczenia pooperacyjnego;</w:t>
            </w:r>
          </w:p>
          <w:p w14:paraId="2E0D553C" w14:textId="02CD9104" w:rsidR="00B6326E" w:rsidRPr="00694345" w:rsidRDefault="00243C4E" w:rsidP="00BF62E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ekspresji PDL1 &lt; 1% w komórkach nowotworu (dotyczy terapii niwolumabem z relatlimabem)</w:t>
            </w:r>
            <w:r w:rsidR="00B73C17" w:rsidRPr="00694345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694345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skojarzonej wemurafenibem z kobimetynibem lub terapii skojarzonej dabrafenibem z trametynibem lub terapii skojarzonej enkorafenibem z binimetynibem</w:t>
            </w:r>
          </w:p>
          <w:p w14:paraId="02CA1459" w14:textId="4D07F549" w:rsidR="005843DD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mutacji BRAF V600 w komórkach nowotworowych za pomocą zwalidowanego testu;</w:t>
            </w:r>
          </w:p>
          <w:p w14:paraId="4CACBBA3" w14:textId="7A01B08D" w:rsidR="00B43FFA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wielkość odstępu QTc w badaniu EKG ≤ 500 ms;</w:t>
            </w:r>
          </w:p>
          <w:p w14:paraId="346FFD7E" w14:textId="2196BCBF" w:rsidR="00B43FFA" w:rsidRPr="00694345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 xml:space="preserve">wykluczone </w:t>
            </w:r>
            <w:r w:rsidR="00E815A3" w:rsidRPr="00694345">
              <w:rPr>
                <w:rFonts w:ascii="Times New Roman" w:hAnsi="Times New Roman" w:cs="Times New Roman"/>
              </w:rPr>
              <w:t>jednoczesne stosowanie</w:t>
            </w:r>
            <w:r w:rsidRPr="00694345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694345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uzupełniającej dabrafenibem w skojarzeniu z trametynibem</w:t>
            </w:r>
          </w:p>
          <w:p w14:paraId="3EEEEE20" w14:textId="6E5D6D86" w:rsidR="00B43FFA" w:rsidRPr="00694345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mutacji BRAF V600 w komórkach nowotworowych za pomocą zwalidowanego testu;</w:t>
            </w:r>
          </w:p>
          <w:p w14:paraId="5140FCD1" w14:textId="4432252F" w:rsidR="00B43FFA" w:rsidRPr="00694345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całkowita resekcja czerniaka skóry (jeśli nie ma wskazań do uzupełniającej limfadenoktomii wystarczająca jest jedynie biopsja węzła wartowniczego) – czas od resekcji przerzutów maksymalnie 16 tygodni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29442B29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694345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6943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uzupełniającej niwolumabem lub pembrolizumabem</w:t>
            </w:r>
          </w:p>
          <w:p w14:paraId="352CFB42" w14:textId="71ECDCEC" w:rsidR="00DA62B4" w:rsidRPr="00694345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całkowita resekcja czerniaka – </w:t>
            </w:r>
            <w:r w:rsidR="00A2721F" w:rsidRPr="00694345">
              <w:rPr>
                <w:rFonts w:ascii="Times New Roman" w:hAnsi="Times New Roman" w:cs="Times New Roman"/>
              </w:rPr>
              <w:t>czas od resekcji maksymalnie 16 tygodni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45CCD042" w14:textId="69552150" w:rsidR="00C57281" w:rsidRPr="00694345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zajęcia węzłów chłonnych (dla terapii niwolumabem lub pembrolizumabem) lub przerzutów odległych (dla terapii niwolumabem);</w:t>
            </w:r>
          </w:p>
          <w:p w14:paraId="35399DB9" w14:textId="5EC054CE" w:rsidR="00C57281" w:rsidRPr="00694345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brak wcześniejszego leczenia farmakologicznego z powodu czerniaka skóry – za farmakologiczne leczenie systemowe nie uznaje się uzupełniającego leczenia pooperacyjnego;</w:t>
            </w:r>
          </w:p>
          <w:p w14:paraId="4345578F" w14:textId="412172B5" w:rsidR="00DA62B4" w:rsidRPr="00694345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>
              <w:rPr>
                <w:rFonts w:ascii="Times New Roman" w:hAnsi="Times New Roman" w:cs="Times New Roman"/>
              </w:rPr>
              <w:t>.</w:t>
            </w:r>
          </w:p>
          <w:p w14:paraId="301C5879" w14:textId="77777777" w:rsidR="007F6ED8" w:rsidRPr="00694345" w:rsidRDefault="007F6ED8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7AE31AC" w14:textId="27A1B4D0" w:rsidR="00D6514E" w:rsidRPr="00694345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 (za </w:t>
            </w:r>
            <w:r w:rsidRPr="00694345">
              <w:rPr>
                <w:rFonts w:ascii="Times New Roman" w:hAnsi="Times New Roman" w:cs="Times New Roman"/>
                <w:szCs w:val="20"/>
              </w:rPr>
              <w:lastRenderedPageBreak/>
              <w:t>wyjątkiem trwających badań klinicznych tych leków), pod warunkiem, że w chwili rozpoczęcia leczenia spełniali kryteria kwalifikacji do programu lekowego</w:t>
            </w:r>
            <w:r w:rsidR="00B85552" w:rsidRPr="00694345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694345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694345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5DB75F89" w14:textId="1155BB1F" w:rsidR="00400A83" w:rsidRPr="00694345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694345">
              <w:rPr>
                <w:rFonts w:ascii="Times New Roman" w:hAnsi="Times New Roman" w:cs="Times New Roman"/>
                <w:szCs w:val="20"/>
              </w:rPr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706369A4" w14:textId="31338A96" w:rsidR="00400A83" w:rsidRPr="00694345" w:rsidRDefault="00400A83" w:rsidP="00BF62EC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uzupełniającej niwolumabem lub pembrolizumabem lub dabrafenibem z trametynibem trwa </w:t>
            </w:r>
            <w:r w:rsidR="00EA243F" w:rsidRPr="00694345">
              <w:rPr>
                <w:rFonts w:ascii="Times New Roman" w:hAnsi="Times New Roman" w:cs="Times New Roman"/>
              </w:rPr>
              <w:t xml:space="preserve">ona </w:t>
            </w:r>
            <w:r w:rsidRPr="00694345">
              <w:rPr>
                <w:rFonts w:ascii="Times New Roman" w:hAnsi="Times New Roman" w:cs="Times New Roman"/>
              </w:rPr>
              <w:t>maksymalnie 12 miesięcy</w:t>
            </w:r>
            <w:r w:rsidR="00392967" w:rsidRPr="00694345">
              <w:rPr>
                <w:rFonts w:ascii="Times New Roman" w:hAnsi="Times New Roman" w:cs="Times New Roman"/>
              </w:rPr>
              <w:t>.</w:t>
            </w:r>
          </w:p>
          <w:p w14:paraId="34AE31A9" w14:textId="77777777" w:rsidR="00392967" w:rsidRPr="00694345" w:rsidRDefault="0039296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694345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7B6644FE" w:rsidR="00392967" w:rsidRPr="00694345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progresja choroby</w:t>
            </w:r>
            <w:r w:rsidR="008168F4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>oceniona zgodnie z aktualnie obowiązującymi kryteriami RECIST</w:t>
            </w:r>
            <w:r w:rsidR="008168F4">
              <w:rPr>
                <w:rFonts w:ascii="Times New Roman" w:hAnsi="Times New Roman" w:cs="Times New Roman"/>
              </w:rPr>
              <w:t>– nie dotyczy leczenia uzupełniającego;</w:t>
            </w:r>
          </w:p>
          <w:p w14:paraId="30195AB4" w14:textId="00A3B9DD" w:rsidR="00392967" w:rsidRPr="00694345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objawów nadwrażliwości na którąkolwiek substancję czynną lub substancję pomocniczą;</w:t>
            </w:r>
          </w:p>
          <w:p w14:paraId="10E62323" w14:textId="735A9B5B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694345">
              <w:rPr>
                <w:rFonts w:ascii="Times New Roman" w:hAnsi="Times New Roman" w:cs="Times New Roman"/>
              </w:rPr>
              <w:t>czenia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694345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okres ciąży lub karmienia piersią;</w:t>
            </w:r>
          </w:p>
          <w:p w14:paraId="206E694E" w14:textId="77777777" w:rsidR="00400A83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BF62EC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694345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694345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694345">
              <w:rPr>
                <w:rFonts w:ascii="Times New Roman" w:hAnsi="Times New Roman" w:cs="Times New Roman"/>
              </w:rPr>
              <w:t xml:space="preserve"> leku</w:t>
            </w:r>
            <w:r w:rsidRPr="00694345">
              <w:rPr>
                <w:rFonts w:ascii="Times New Roman" w:hAnsi="Times New Roman" w:cs="Times New Roman"/>
              </w:rPr>
              <w:t xml:space="preserve"> prowadzone zgodnie z aktualną Charakterystyką Produktu Leczniczego (ChPL) lub przyjętą praktyką kliniczną.</w:t>
            </w:r>
          </w:p>
          <w:p w14:paraId="7CC560D6" w14:textId="77777777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694345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 xml:space="preserve">Dawkowanie niwolumabu lub pembrolizumabu lub niwolumabu w skojarzeniu z ipilimumabem lub niwolumabu w skojarzeniu z </w:t>
            </w:r>
            <w:r w:rsidR="00047266" w:rsidRPr="00694345">
              <w:rPr>
                <w:rFonts w:ascii="Times New Roman" w:hAnsi="Times New Roman" w:cs="Times New Roman"/>
                <w:b/>
                <w:bCs/>
              </w:rPr>
              <w:t>relatlimabem</w:t>
            </w:r>
          </w:p>
          <w:p w14:paraId="511928DD" w14:textId="077BB92F" w:rsidR="00EE66B7" w:rsidRPr="00694345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Terapie te</w:t>
            </w:r>
            <w:r w:rsidR="00EE66B7" w:rsidRPr="00694345">
              <w:rPr>
                <w:rFonts w:ascii="Times New Roman" w:hAnsi="Times New Roman" w:cs="Times New Roman"/>
              </w:rPr>
              <w:t xml:space="preserve"> nie m</w:t>
            </w:r>
            <w:r w:rsidRPr="00694345">
              <w:rPr>
                <w:rFonts w:ascii="Times New Roman" w:hAnsi="Times New Roman" w:cs="Times New Roman"/>
              </w:rPr>
              <w:t>ogą</w:t>
            </w:r>
            <w:r w:rsidR="00EE66B7" w:rsidRPr="00694345">
              <w:rPr>
                <w:rFonts w:ascii="Times New Roman" w:hAnsi="Times New Roman" w:cs="Times New Roman"/>
              </w:rPr>
              <w:t xml:space="preserve"> być stosowan</w:t>
            </w:r>
            <w:r w:rsidRPr="00694345">
              <w:rPr>
                <w:rFonts w:ascii="Times New Roman" w:hAnsi="Times New Roman" w:cs="Times New Roman"/>
              </w:rPr>
              <w:t>e</w:t>
            </w:r>
            <w:r w:rsidR="00EE66B7" w:rsidRPr="00694345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innym przeciwciałem monoklonalnym (nie dotyczy skojarzenia niwolumabu z ipilimumabem i skojarzenia niwolumabu z </w:t>
            </w:r>
            <w:r w:rsidR="008018F4" w:rsidRPr="00694345">
              <w:rPr>
                <w:rFonts w:ascii="Times New Roman" w:hAnsi="Times New Roman" w:cs="Times New Roman"/>
              </w:rPr>
              <w:t>relatlimabem</w:t>
            </w:r>
            <w:r w:rsidRPr="00694345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694345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119FBD0C" w14:textId="79F07FAA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terapii niwolumabem:</w:t>
            </w:r>
          </w:p>
          <w:p w14:paraId="36B15A70" w14:textId="61AEFDD3" w:rsidR="008018F4" w:rsidRPr="00694345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694345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480 mg co 4 tygodnie.</w:t>
            </w:r>
          </w:p>
          <w:p w14:paraId="4C8BA01A" w14:textId="77777777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694345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Zalecane dawki dla terapii niwolumabem w skojarzeniu z ipilimumabem:</w:t>
            </w:r>
          </w:p>
          <w:p w14:paraId="55734E98" w14:textId="3C905450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Niwolumab w dawce 1 mg/kg m.c. oraz ipilimumab w dawce 3 mg/kg m.c., co 3 tygodnie dla czterech pierwszych dawek.</w:t>
            </w:r>
          </w:p>
          <w:p w14:paraId="674D0918" w14:textId="77777777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694345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terapii pembrolizumabem:</w:t>
            </w:r>
          </w:p>
          <w:p w14:paraId="2C35AB79" w14:textId="6FFD589D" w:rsidR="008018F4" w:rsidRPr="00694345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Zalecane dawki dla terapii niwolumabem w skojarzeniu z relatlimabem:</w:t>
            </w:r>
          </w:p>
          <w:p w14:paraId="6461637E" w14:textId="6FA35B73" w:rsidR="00555F25" w:rsidRPr="00555F25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Niwolumab w dawce 480 mg i relatlimab w dawce 160 mg co 4 tygodnie.</w:t>
            </w:r>
          </w:p>
          <w:p w14:paraId="115B42B0" w14:textId="77777777" w:rsidR="008018F4" w:rsidRPr="00694345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1FC7DBA3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Dopuszcza się możliwość zawieszenia terapii niwolumabem lub pembrolizumabem po okresie minimum 6 miesięcy trwania terapii u chorych, u których uzyskano korzyść kliniczną (stabilizacja choroby, częściowa lub całkowita odpowiedź wg RECIST) pod następującymi warunkami:</w:t>
            </w:r>
          </w:p>
          <w:p w14:paraId="0A8470A5" w14:textId="14009D1F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694345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konsolidacja uzyskanej korzyści klinicznej 2 kolejnymi podaniami leku</w:t>
            </w:r>
            <w:r w:rsidR="001371BE" w:rsidRPr="00694345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694345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przypadku wystąpienia progresji istnieje możliwość powrotu do tego leczenia, o ile pacjent nie spełnia kryteriów wyłączenia z programu oraz nie zachodzą inne </w:t>
            </w:r>
            <w:r w:rsidRPr="00694345">
              <w:rPr>
                <w:rFonts w:ascii="Times New Roman" w:hAnsi="Times New Roman" w:cs="Times New Roman"/>
              </w:rPr>
              <w:lastRenderedPageBreak/>
              <w:t>przeciwwskazania do leczenia niwolumabem lub pembrolizumabem</w:t>
            </w:r>
            <w:r w:rsidR="005245F8" w:rsidRPr="00694345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694345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694345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t xml:space="preserve">Dawkowanie wemurafenibu w skojarzeniu z kobimetynibem lub dabrafenibu z </w:t>
            </w:r>
            <w:r w:rsidR="0044446F" w:rsidRPr="00694345">
              <w:rPr>
                <w:rFonts w:ascii="Times New Roman" w:hAnsi="Times New Roman" w:cs="Times New Roman"/>
                <w:b/>
                <w:bCs/>
              </w:rPr>
              <w:t>trametynibem</w:t>
            </w:r>
          </w:p>
          <w:p w14:paraId="3A196E02" w14:textId="07E0B17C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694345">
              <w:rPr>
                <w:rFonts w:ascii="Times New Roman" w:hAnsi="Times New Roman" w:cs="Times New Roman"/>
              </w:rPr>
              <w:t xml:space="preserve">powyższych </w:t>
            </w:r>
            <w:r w:rsidRPr="00694345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694345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Pacjenci włączeni do programu przez 1 marca 2017 r. mogą kontynuować monoterapię wemuraf</w:t>
            </w:r>
            <w:r w:rsidR="001371BE" w:rsidRPr="00694345">
              <w:rPr>
                <w:rFonts w:ascii="Times New Roman" w:hAnsi="Times New Roman" w:cs="Times New Roman"/>
              </w:rPr>
              <w:t>e</w:t>
            </w:r>
            <w:r w:rsidRPr="00694345">
              <w:rPr>
                <w:rFonts w:ascii="Times New Roman" w:hAnsi="Times New Roman" w:cs="Times New Roman"/>
              </w:rPr>
              <w:t>nibem lub dabrafenibem aż do zakończenia leczenia.</w:t>
            </w:r>
          </w:p>
          <w:p w14:paraId="6DBFE27D" w14:textId="77777777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terapii dabrafenibem z trametynibem:</w:t>
            </w:r>
          </w:p>
          <w:p w14:paraId="47CFA164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Dabrafenib w dawce 150 mg dwa razy na dobę oraz trametynib w dawce 2 mg raz na dobę.</w:t>
            </w:r>
          </w:p>
          <w:p w14:paraId="036F5D70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monoterapii dabrafenibem:</w:t>
            </w:r>
          </w:p>
          <w:p w14:paraId="206743A9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150 mg dwa razy na dobę.</w:t>
            </w:r>
          </w:p>
          <w:p w14:paraId="349B5F38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694345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terapii wemurafenibem w skojarzeniu z kobimetynibem:</w:t>
            </w:r>
          </w:p>
          <w:p w14:paraId="4CB6EC9B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Wemurafenib w dawce 960 mg dwa razy na dobę oraz kobimetynib w dawce 60 mg raz na dobę.</w:t>
            </w:r>
          </w:p>
          <w:p w14:paraId="217103E9" w14:textId="77777777" w:rsidR="00567144" w:rsidRPr="00694345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Terapię kobimetynibem prowadzi się w cyklach 28-dniowych: po 21 dniach podawania leku następuje 7-dniowa przerwa.</w:t>
            </w:r>
          </w:p>
          <w:p w14:paraId="209FCF8D" w14:textId="77777777" w:rsidR="008018F4" w:rsidRPr="00694345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694345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69434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Dawkowanie </w:t>
            </w:r>
            <w:r w:rsidR="008018F4" w:rsidRPr="00694345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694345">
              <w:rPr>
                <w:rFonts w:ascii="Times New Roman" w:hAnsi="Times New Roman" w:cs="Times New Roman"/>
                <w:b/>
                <w:bCs/>
              </w:rPr>
              <w:t>u</w:t>
            </w:r>
            <w:r w:rsidR="008018F4" w:rsidRPr="00694345">
              <w:rPr>
                <w:rFonts w:ascii="Times New Roman" w:hAnsi="Times New Roman" w:cs="Times New Roman"/>
                <w:b/>
                <w:bCs/>
              </w:rPr>
              <w:t xml:space="preserve"> w skojarzeniu z binimetynibem:</w:t>
            </w:r>
          </w:p>
          <w:p w14:paraId="49EF5372" w14:textId="77777777" w:rsidR="00567144" w:rsidRPr="00694345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Zalecane dawki dla terapii e</w:t>
            </w:r>
            <w:r w:rsidR="008018F4" w:rsidRPr="00694345">
              <w:rPr>
                <w:rFonts w:ascii="Times New Roman" w:hAnsi="Times New Roman" w:cs="Times New Roman"/>
              </w:rPr>
              <w:t>nkorafenib</w:t>
            </w:r>
            <w:r w:rsidRPr="00694345">
              <w:rPr>
                <w:rFonts w:ascii="Times New Roman" w:hAnsi="Times New Roman" w:cs="Times New Roman"/>
              </w:rPr>
              <w:t>em</w:t>
            </w:r>
            <w:r w:rsidR="008018F4" w:rsidRPr="00694345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>w skojarzeniu z binimetynibem:</w:t>
            </w:r>
          </w:p>
          <w:p w14:paraId="0821B997" w14:textId="0C424E35" w:rsidR="008018F4" w:rsidRPr="00694345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Enkorafenib </w:t>
            </w:r>
            <w:r w:rsidR="008018F4" w:rsidRPr="00694345">
              <w:rPr>
                <w:rFonts w:ascii="Times New Roman" w:hAnsi="Times New Roman" w:cs="Times New Roman"/>
              </w:rPr>
              <w:t>w dawce 450 mg raz na dobę oraz binimetynib w dawce 45 mg dwa razy na dobę.</w:t>
            </w:r>
          </w:p>
          <w:p w14:paraId="459A4765" w14:textId="2D2B35E8" w:rsidR="008018F4" w:rsidRPr="00694345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694345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badanie histologiczne potwierdzające obecność czerniaka;</w:t>
            </w:r>
          </w:p>
          <w:p w14:paraId="0373029C" w14:textId="08915BCF" w:rsidR="00E00454" w:rsidRPr="00694345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obecności mutacji BRAF V600 – dla terapii skojarzonej dabrafenibem z trametynibem lub</w:t>
            </w:r>
            <w:r w:rsidR="0085092D" w:rsidRPr="00694345">
              <w:rPr>
                <w:rFonts w:ascii="Times New Roman" w:hAnsi="Times New Roman" w:cs="Times New Roman"/>
              </w:rPr>
              <w:t xml:space="preserve"> wemurafenibem z kobimetynibem lub</w:t>
            </w:r>
            <w:r w:rsidRPr="00694345">
              <w:rPr>
                <w:rFonts w:ascii="Times New Roman" w:hAnsi="Times New Roman" w:cs="Times New Roman"/>
              </w:rPr>
              <w:t xml:space="preserve"> enkorafenibem z binimetynibem;</w:t>
            </w:r>
          </w:p>
          <w:p w14:paraId="2E87F85D" w14:textId="192140E8" w:rsidR="002C6432" w:rsidRPr="00694345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ekspresji PDL1 w komórkach nowotworu – dla terapii skojarzonej niwolumabem z relatlimabem;</w:t>
            </w:r>
          </w:p>
          <w:p w14:paraId="75B2B431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asparaginianowej we krwi;</w:t>
            </w:r>
          </w:p>
          <w:p w14:paraId="3939C388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65E1663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694345">
              <w:rPr>
                <w:rFonts w:ascii="Times New Roman" w:hAnsi="Times New Roman" w:cs="Times New Roman"/>
              </w:rPr>
              <w:t xml:space="preserve"> – dla terapii skojarzonej wemurafenibem z kobimetynibem oraz enkorafenibem z binimetynibem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7EC8984D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oznaczenie stężenia dehydrogenazy mleczanowej (LDH) we krwi;</w:t>
            </w:r>
          </w:p>
          <w:p w14:paraId="24591CDA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694345">
              <w:rPr>
                <w:rFonts w:ascii="Times New Roman" w:hAnsi="Times New Roman" w:cs="Times New Roman"/>
              </w:rPr>
              <w:t xml:space="preserve"> – dla terapii niwolumabem, pembrolizumabem, terapii skojarzonej niwolumabem z ipilimumabem i terapii skojarzonej niwolumabem z relatlimabem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6FE22703" w14:textId="77777777" w:rsidR="00A27644" w:rsidRPr="00694345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ogólne badanie moczu;</w:t>
            </w:r>
          </w:p>
          <w:p w14:paraId="0F1FDD1F" w14:textId="5CC3FDF3" w:rsidR="00227646" w:rsidRPr="00694345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694345">
              <w:rPr>
                <w:rFonts w:ascii="Times New Roman" w:hAnsi="Times New Roman" w:cs="Times New Roman"/>
              </w:rPr>
              <w:t>ocen</w:t>
            </w:r>
            <w:r w:rsidRPr="00694345">
              <w:rPr>
                <w:rFonts w:ascii="Times New Roman" w:hAnsi="Times New Roman" w:cs="Times New Roman"/>
              </w:rPr>
              <w:t>ą</w:t>
            </w:r>
            <w:r w:rsidR="00227646" w:rsidRPr="00694345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694345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694345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694345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4C464D7" w:rsidR="00E00454" w:rsidRPr="00694345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</w:t>
            </w:r>
            <w:r w:rsidR="00E00454" w:rsidRPr="00694345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miednicy,</w:t>
            </w:r>
            <w:r w:rsidR="00280F09" w:rsidRPr="00694345">
              <w:rPr>
                <w:rFonts w:ascii="Times New Roman" w:hAnsi="Times New Roman" w:cs="Times New Roman"/>
              </w:rPr>
              <w:t xml:space="preserve"> scyntygrafia</w:t>
            </w:r>
            <w:r w:rsidR="00E00454" w:rsidRPr="00694345">
              <w:rPr>
                <w:rFonts w:ascii="Times New Roman" w:hAnsi="Times New Roman" w:cs="Times New Roman"/>
              </w:rPr>
              <w:t xml:space="preserve"> w celu udokumentowania zmian przerzutowych;</w:t>
            </w:r>
          </w:p>
          <w:p w14:paraId="4F46EB30" w14:textId="6938D61A" w:rsidR="00E00454" w:rsidRPr="00694345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inne badania laboratoryjne i obrazowe w razie wskazań klinicznych</w:t>
            </w:r>
            <w:r w:rsidR="00DA5352" w:rsidRPr="00694345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694345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694345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Dodatkowo dla terapii skojarzonej wemurafenibem z kobimetynibem lub </w:t>
            </w:r>
            <w:r w:rsidR="00DA5352" w:rsidRPr="00694345">
              <w:rPr>
                <w:rFonts w:ascii="Times New Roman" w:hAnsi="Times New Roman" w:cs="Times New Roman"/>
              </w:rPr>
              <w:t>dabrafenibem z trametynibem lub enkorafenibem z binimetynibem:</w:t>
            </w:r>
          </w:p>
          <w:p w14:paraId="15440885" w14:textId="77777777" w:rsidR="00DA5352" w:rsidRPr="00694345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694345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badanie okulistyczne ostrości i pola widzenia oraz dna oka.</w:t>
            </w:r>
          </w:p>
          <w:p w14:paraId="7085AAFE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480EE8AC" w14:textId="1335C178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>
              <w:rPr>
                <w:rFonts w:ascii="Times New Roman" w:hAnsi="Times New Roman" w:cs="Times New Roman"/>
              </w:rPr>
              <w:t xml:space="preserve"> (</w:t>
            </w:r>
            <w:r w:rsidR="006846DB">
              <w:rPr>
                <w:rFonts w:ascii="Times New Roman" w:hAnsi="Times New Roman" w:cs="Times New Roman"/>
              </w:rPr>
              <w:t>nie dotyczy leczenia uzupełniającego</w:t>
            </w:r>
            <w:r w:rsidR="006E2AFB">
              <w:rPr>
                <w:rFonts w:ascii="Times New Roman" w:hAnsi="Times New Roman" w:cs="Times New Roman"/>
              </w:rPr>
              <w:t>)</w:t>
            </w:r>
            <w:r w:rsidRPr="00694345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694345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694345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694345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pełne badanie przedmiotowe</w:t>
            </w:r>
            <w:r w:rsidR="00935A15" w:rsidRPr="00694345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676ED596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033168EF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aktywności aminotransferazy asparaginianowej we krwi;</w:t>
            </w:r>
          </w:p>
          <w:p w14:paraId="19934E07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6BD9A5C6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amylazy we krwi</w:t>
            </w:r>
            <w:r w:rsidR="006E2AFB" w:rsidRPr="00694345">
              <w:rPr>
                <w:rFonts w:ascii="Times New Roman" w:hAnsi="Times New Roman" w:cs="Times New Roman"/>
              </w:rPr>
              <w:t xml:space="preserve"> </w:t>
            </w:r>
            <w:r w:rsidR="006E2AFB">
              <w:rPr>
                <w:rFonts w:ascii="Times New Roman" w:hAnsi="Times New Roman" w:cs="Times New Roman"/>
              </w:rPr>
              <w:t xml:space="preserve">– </w:t>
            </w:r>
            <w:r w:rsidR="006E2AFB" w:rsidRPr="00694345">
              <w:rPr>
                <w:rFonts w:ascii="Times New Roman" w:hAnsi="Times New Roman" w:cs="Times New Roman"/>
              </w:rPr>
              <w:t>dla terapii skojarzonej wemurafenibem z kobimetynibem oraz enkorafenibem z binimetynibem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oznaczenie stężenia mocznika we krwi;</w:t>
            </w:r>
          </w:p>
          <w:p w14:paraId="15CC60DB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694345">
              <w:rPr>
                <w:rFonts w:ascii="Times New Roman" w:hAnsi="Times New Roman" w:cs="Times New Roman"/>
              </w:rPr>
              <w:t xml:space="preserve"> </w:t>
            </w:r>
            <w:r w:rsidR="006E2AFB">
              <w:rPr>
                <w:rFonts w:ascii="Times New Roman" w:hAnsi="Times New Roman" w:cs="Times New Roman"/>
              </w:rPr>
              <w:t xml:space="preserve">– </w:t>
            </w:r>
            <w:r w:rsidR="006E2AFB" w:rsidRPr="00694345">
              <w:rPr>
                <w:rFonts w:ascii="Times New Roman" w:hAnsi="Times New Roman" w:cs="Times New Roman"/>
              </w:rPr>
              <w:t>dla terapii niwolumabem, pembrolizumabem, terapii skojarzonej niwolumabem z ipilimumabem i terapii skojarzonej niwolumabem z relatlimabem</w:t>
            </w:r>
            <w:r w:rsidRPr="00694345">
              <w:rPr>
                <w:rFonts w:ascii="Times New Roman" w:hAnsi="Times New Roman" w:cs="Times New Roman"/>
              </w:rPr>
              <w:t>;</w:t>
            </w:r>
          </w:p>
          <w:p w14:paraId="68AABCA4" w14:textId="77777777" w:rsidR="0091133C" w:rsidRPr="00694345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ogólne badanie moczu;</w:t>
            </w:r>
          </w:p>
          <w:p w14:paraId="1F0A0125" w14:textId="5A169147" w:rsidR="0091133C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694345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>
              <w:rPr>
                <w:rFonts w:ascii="Times New Roman" w:hAnsi="Times New Roman" w:cs="Times New Roman"/>
              </w:rPr>
              <w:t xml:space="preserve"> - </w:t>
            </w:r>
            <w:r w:rsidR="00555F25" w:rsidRPr="00694345">
              <w:rPr>
                <w:rFonts w:ascii="Times New Roman" w:hAnsi="Times New Roman" w:cs="Times New Roman"/>
              </w:rPr>
              <w:t>dla terapii skojarzonej wemurafenibem z kobimetynibem lub dabrafenibem z trametynibem lub enkorafenibem z binimetynibem</w:t>
            </w:r>
            <w:r w:rsidR="00555F25">
              <w:rPr>
                <w:rFonts w:ascii="Times New Roman" w:hAnsi="Times New Roman" w:cs="Times New Roman"/>
              </w:rPr>
              <w:t>;</w:t>
            </w:r>
          </w:p>
          <w:p w14:paraId="08E1F9B0" w14:textId="07BC9D7A" w:rsidR="00935A15" w:rsidRPr="00694345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badanie okulistyczne, w tym dna oka, w razie wskazań klinicznych</w:t>
            </w:r>
            <w:r w:rsidR="00555F25">
              <w:rPr>
                <w:rFonts w:ascii="Times New Roman" w:hAnsi="Times New Roman" w:cs="Times New Roman"/>
              </w:rPr>
              <w:t xml:space="preserve"> - </w:t>
            </w:r>
            <w:r w:rsidR="00555F25" w:rsidRPr="00694345">
              <w:rPr>
                <w:rFonts w:ascii="Times New Roman" w:hAnsi="Times New Roman" w:cs="Times New Roman"/>
              </w:rPr>
              <w:t>dla terapii skojarzonej wemurafenibem z kobimetynibem lub dabrafenibem z trametynibem lub enkorafenibem z binimetynibem</w:t>
            </w:r>
            <w:r w:rsidR="00555F25">
              <w:rPr>
                <w:rFonts w:ascii="Times New Roman" w:hAnsi="Times New Roman" w:cs="Times New Roman"/>
              </w:rPr>
              <w:t>.</w:t>
            </w:r>
          </w:p>
          <w:p w14:paraId="155DF860" w14:textId="77777777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laboratoryjne wykonuje się:</w:t>
            </w:r>
          </w:p>
          <w:p w14:paraId="34F4BAB3" w14:textId="4021B3F0" w:rsidR="0075438A" w:rsidRPr="00694345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dla niwolumabu lub pembrolizumabu lub terapii skojarzonej niwolumabu z ipilimumabem lub niwolumabu z relatlinibem: co 6 – 12 tygodni;</w:t>
            </w:r>
          </w:p>
          <w:p w14:paraId="02866091" w14:textId="2D0779A7" w:rsidR="0075438A" w:rsidRPr="00694345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694345">
              <w:rPr>
                <w:rFonts w:ascii="Times New Roman" w:hAnsi="Times New Roman" w:cs="Times New Roman"/>
              </w:rPr>
              <w:t>8</w:t>
            </w:r>
            <w:r w:rsidRPr="00694345">
              <w:rPr>
                <w:rFonts w:ascii="Times New Roman" w:hAnsi="Times New Roman" w:cs="Times New Roman"/>
              </w:rPr>
              <w:t xml:space="preserve"> – </w:t>
            </w:r>
            <w:r w:rsidR="000059CA" w:rsidRPr="00694345">
              <w:rPr>
                <w:rFonts w:ascii="Times New Roman" w:hAnsi="Times New Roman" w:cs="Times New Roman"/>
              </w:rPr>
              <w:t>10</w:t>
            </w:r>
            <w:r w:rsidRPr="00694345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77777777" w:rsidR="0075438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Zaleca się, aby wszystkie próbki były pobrane w okresie do 7 dni przed podaniem dawki leku.</w:t>
            </w:r>
          </w:p>
          <w:p w14:paraId="624DCD02" w14:textId="77777777" w:rsidR="000059CA" w:rsidRPr="00694345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 xml:space="preserve">Elektrokardiogram wykonuje się </w:t>
            </w:r>
            <w:r w:rsidR="000059CA" w:rsidRPr="00694345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694345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694345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694345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694345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694345">
              <w:rPr>
                <w:rFonts w:ascii="Times New Roman" w:hAnsi="Times New Roman" w:cs="Times New Roman"/>
              </w:rPr>
              <w:t xml:space="preserve">lub MRI </w:t>
            </w:r>
            <w:r w:rsidRPr="00694345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694345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694345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wykonuje się:</w:t>
            </w:r>
          </w:p>
          <w:p w14:paraId="4AB775D3" w14:textId="77777777" w:rsidR="00210826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dla terapii skojarzonej wemurafenibem z kobimetynibem lub dabrafenibem z trametynibem lub enkorafenibem z binimetynibem: co 14 – 18 tygodni;</w:t>
            </w:r>
          </w:p>
          <w:p w14:paraId="1560B3BA" w14:textId="4F77A672" w:rsidR="00210826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u chorych ze stwierdzonymi wyjściowo przerzutami do OUN: co 8 – 14 tygodni;</w:t>
            </w:r>
          </w:p>
          <w:p w14:paraId="73ABB0EB" w14:textId="5C84201F" w:rsidR="006E6C79" w:rsidRPr="00694345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dla terapii </w:t>
            </w:r>
            <w:r w:rsidR="006E6C79" w:rsidRPr="00694345">
              <w:rPr>
                <w:rFonts w:ascii="Times New Roman" w:hAnsi="Times New Roman" w:cs="Times New Roman"/>
              </w:rPr>
              <w:t>niwolumabem lub pembrolizumabem: po 12 tygodniach, a następnie co 3 – 4 miesiące lub przy klinicznym podejrzeniu progresji;</w:t>
            </w:r>
          </w:p>
          <w:p w14:paraId="41E1A099" w14:textId="3A703A6A" w:rsidR="006E6C79" w:rsidRPr="00694345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dla terapii skojarzonej niwolumabem z ipilim</w:t>
            </w:r>
            <w:r w:rsidR="00DB0B8F" w:rsidRPr="00694345">
              <w:rPr>
                <w:rFonts w:ascii="Times New Roman" w:hAnsi="Times New Roman" w:cs="Times New Roman"/>
              </w:rPr>
              <w:t>um</w:t>
            </w:r>
            <w:r w:rsidRPr="00694345">
              <w:rPr>
                <w:rFonts w:ascii="Times New Roman" w:hAnsi="Times New Roman" w:cs="Times New Roman"/>
              </w:rPr>
              <w:t>abem lub niwolumabem z relatlimabem: między 11 a 13 tygodniem leczenia, a następnie co 3 – 4 miesiące lub przy klinicznym podejrzeniu progresji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7AD0F045" w14:textId="507E0078" w:rsidR="006E6C79" w:rsidRPr="00694345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W przypadku chorych leczonych w programie przynajmniej 24 miesiące i uzyskujących korzyść kliniczną, tj. odpowiedź obiektywną lub stabilizację choroby</w:t>
            </w:r>
            <w:r w:rsidR="00877A6F" w:rsidRPr="00694345">
              <w:rPr>
                <w:rFonts w:ascii="Times New Roman" w:hAnsi="Times New Roman" w:cs="Times New Roman"/>
              </w:rPr>
              <w:t>,</w:t>
            </w:r>
            <w:r w:rsidRPr="00694345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694345">
              <w:rPr>
                <w:rFonts w:ascii="Times New Roman" w:hAnsi="Times New Roman" w:cs="Times New Roman"/>
              </w:rPr>
              <w:t>,</w:t>
            </w:r>
            <w:r w:rsidRPr="00694345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694345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1E19C166" w14:textId="01067951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694345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- całkowite przeżycie (OS) i czas do progresji (PFS).</w:t>
            </w:r>
          </w:p>
          <w:p w14:paraId="05C94A8B" w14:textId="77777777" w:rsidR="00377D2B" w:rsidRPr="00694345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694345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Kontrola </w:t>
            </w:r>
            <w:r w:rsidR="008168F4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, u których leczenie niwolumabem lub pembrolizumabem zostało czasowo zawieszone</w:t>
            </w:r>
          </w:p>
          <w:p w14:paraId="289D7FAA" w14:textId="56964CBB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dermatoskopia nowych zmian skórnych;</w:t>
            </w:r>
          </w:p>
          <w:p w14:paraId="5C45F8F9" w14:textId="575CC7E2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aminotransferazy alaninowej lub asparaginianowej we krwi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lastRenderedPageBreak/>
              <w:t>oznaczenie stężenia kreatyniny w</w:t>
            </w:r>
            <w:r w:rsidR="00B3526E" w:rsidRPr="00694345">
              <w:rPr>
                <w:rFonts w:ascii="Times New Roman" w:hAnsi="Times New Roman" w:cs="Times New Roman"/>
              </w:rPr>
              <w:t xml:space="preserve"> surowicy</w:t>
            </w:r>
            <w:r w:rsidRPr="00694345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4645D620" w14:textId="69F01FA7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694345">
              <w:rPr>
                <w:rFonts w:ascii="Times New Roman" w:hAnsi="Times New Roman" w:cs="Times New Roman"/>
              </w:rPr>
              <w:t xml:space="preserve">w tym </w:t>
            </w:r>
            <w:r w:rsidRPr="00694345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694345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694345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694345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694345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694345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694345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694345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Kontrolę pacjenta przeprowadza się:</w:t>
            </w:r>
          </w:p>
          <w:p w14:paraId="5EC0D7C4" w14:textId="314FD741" w:rsidR="00744EAC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</w:t>
            </w:r>
            <w:r w:rsidR="00744EAC" w:rsidRPr="00694345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</w:t>
            </w:r>
            <w:r w:rsidR="00744EAC" w:rsidRPr="00694345">
              <w:rPr>
                <w:rFonts w:ascii="Times New Roman" w:hAnsi="Times New Roman" w:cs="Times New Roman"/>
              </w:rPr>
              <w:t xml:space="preserve"> okresie kolejnych 3 lat: </w:t>
            </w:r>
            <w:r w:rsidRPr="00694345">
              <w:rPr>
                <w:rFonts w:ascii="Times New Roman" w:hAnsi="Times New Roman" w:cs="Times New Roman"/>
              </w:rPr>
              <w:t>co 6 – 8 miesięcy</w:t>
            </w:r>
            <w:r w:rsidR="00F07261" w:rsidRPr="00694345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694345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w okresie po 6 latach od zawieszenia: raz w roku, do końca życia, ale tylko badania wymienione w punktach od 1 do 10.</w:t>
            </w:r>
          </w:p>
          <w:p w14:paraId="640F1F83" w14:textId="69ABE51C" w:rsidR="00A41C12" w:rsidRPr="00694345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694345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45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694345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694345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694345" w:rsidDel="00CE778C">
              <w:rPr>
                <w:rFonts w:ascii="Times New Roman" w:hAnsi="Times New Roman" w:cs="Times New Roman"/>
              </w:rPr>
              <w:t xml:space="preserve"> </w:t>
            </w:r>
            <w:r w:rsidRPr="00694345">
              <w:rPr>
                <w:rFonts w:ascii="Times New Roman" w:hAnsi="Times New Roman" w:cs="Times New Roman"/>
              </w:rPr>
              <w:t xml:space="preserve">dostępnym za pomocą aplikacji internetowej udostępnionej przez OW </w:t>
            </w:r>
            <w:r w:rsidRPr="00694345">
              <w:rPr>
                <w:rFonts w:ascii="Times New Roman" w:hAnsi="Times New Roman" w:cs="Times New Roman"/>
              </w:rPr>
              <w:lastRenderedPageBreak/>
              <w:t>NFZ, z częstotliwością zgodną z opisem programu oraz na zakończenie leczenia;</w:t>
            </w:r>
          </w:p>
          <w:p w14:paraId="1054F31E" w14:textId="77777777" w:rsidR="00C86496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694345">
              <w:rPr>
                <w:rFonts w:ascii="Times New Roman" w:hAnsi="Times New Roman" w:cs="Times New Roman"/>
              </w:rPr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694345">
              <w:rPr>
                <w:rFonts w:ascii="Times New Roman" w:hAnsi="Times New Roman" w:cs="Times New Roman"/>
              </w:rPr>
              <w:t>).</w:t>
            </w:r>
          </w:p>
          <w:p w14:paraId="4AB1CFC6" w14:textId="36EA884D" w:rsidR="00D90194" w:rsidRPr="00D90194" w:rsidRDefault="00D90194" w:rsidP="00D90194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</w:tbl>
    <w:p w14:paraId="188FEA6E" w14:textId="2A6F629A" w:rsidR="00396B33" w:rsidRPr="00FE74DC" w:rsidRDefault="00396B33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E74D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E71B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E372CA"/>
    <w:multiLevelType w:val="multilevel"/>
    <w:tmpl w:val="DB003D3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545366">
    <w:abstractNumId w:val="11"/>
  </w:num>
  <w:num w:numId="2" w16cid:durableId="297691282">
    <w:abstractNumId w:val="20"/>
  </w:num>
  <w:num w:numId="3" w16cid:durableId="928467013">
    <w:abstractNumId w:val="9"/>
  </w:num>
  <w:num w:numId="4" w16cid:durableId="645352685">
    <w:abstractNumId w:val="17"/>
  </w:num>
  <w:num w:numId="5" w16cid:durableId="1512603488">
    <w:abstractNumId w:val="12"/>
  </w:num>
  <w:num w:numId="6" w16cid:durableId="2052917227">
    <w:abstractNumId w:val="13"/>
  </w:num>
  <w:num w:numId="7" w16cid:durableId="744763952">
    <w:abstractNumId w:val="16"/>
  </w:num>
  <w:num w:numId="8" w16cid:durableId="1014110705">
    <w:abstractNumId w:val="4"/>
  </w:num>
  <w:num w:numId="9" w16cid:durableId="2058816333">
    <w:abstractNumId w:val="26"/>
  </w:num>
  <w:num w:numId="10" w16cid:durableId="1894077282">
    <w:abstractNumId w:val="24"/>
  </w:num>
  <w:num w:numId="11" w16cid:durableId="520362633">
    <w:abstractNumId w:val="6"/>
  </w:num>
  <w:num w:numId="12" w16cid:durableId="1826508325">
    <w:abstractNumId w:val="23"/>
  </w:num>
  <w:num w:numId="13" w16cid:durableId="190462604">
    <w:abstractNumId w:val="22"/>
  </w:num>
  <w:num w:numId="14" w16cid:durableId="248736201">
    <w:abstractNumId w:val="8"/>
  </w:num>
  <w:num w:numId="15" w16cid:durableId="1892574711">
    <w:abstractNumId w:val="21"/>
  </w:num>
  <w:num w:numId="16" w16cid:durableId="754321435">
    <w:abstractNumId w:val="7"/>
  </w:num>
  <w:num w:numId="17" w16cid:durableId="1067606673">
    <w:abstractNumId w:val="19"/>
  </w:num>
  <w:num w:numId="18" w16cid:durableId="797065402">
    <w:abstractNumId w:val="3"/>
  </w:num>
  <w:num w:numId="19" w16cid:durableId="993605127">
    <w:abstractNumId w:val="14"/>
  </w:num>
  <w:num w:numId="20" w16cid:durableId="1213154525">
    <w:abstractNumId w:val="0"/>
  </w:num>
  <w:num w:numId="21" w16cid:durableId="1907952089">
    <w:abstractNumId w:val="1"/>
  </w:num>
  <w:num w:numId="22" w16cid:durableId="1170096554">
    <w:abstractNumId w:val="15"/>
  </w:num>
  <w:num w:numId="23" w16cid:durableId="1291015020">
    <w:abstractNumId w:val="10"/>
  </w:num>
  <w:num w:numId="24" w16cid:durableId="1655252722">
    <w:abstractNumId w:val="18"/>
  </w:num>
  <w:num w:numId="25" w16cid:durableId="860702280">
    <w:abstractNumId w:val="25"/>
  </w:num>
  <w:num w:numId="26" w16cid:durableId="317803679">
    <w:abstractNumId w:val="5"/>
  </w:num>
  <w:num w:numId="27" w16cid:durableId="1733113488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2D2F"/>
    <w:rsid w:val="00016686"/>
    <w:rsid w:val="0002196A"/>
    <w:rsid w:val="00047266"/>
    <w:rsid w:val="000577CE"/>
    <w:rsid w:val="00092E4B"/>
    <w:rsid w:val="001371BE"/>
    <w:rsid w:val="001B5785"/>
    <w:rsid w:val="00210826"/>
    <w:rsid w:val="00227646"/>
    <w:rsid w:val="00227F4E"/>
    <w:rsid w:val="00230565"/>
    <w:rsid w:val="00243C4E"/>
    <w:rsid w:val="00280F09"/>
    <w:rsid w:val="002C6432"/>
    <w:rsid w:val="002D762E"/>
    <w:rsid w:val="00377D2B"/>
    <w:rsid w:val="00392967"/>
    <w:rsid w:val="00396B33"/>
    <w:rsid w:val="003B0CE7"/>
    <w:rsid w:val="003C114D"/>
    <w:rsid w:val="00400A83"/>
    <w:rsid w:val="0044446F"/>
    <w:rsid w:val="00445D6F"/>
    <w:rsid w:val="00446F03"/>
    <w:rsid w:val="00452E5A"/>
    <w:rsid w:val="00455F59"/>
    <w:rsid w:val="004B2D87"/>
    <w:rsid w:val="004D13FB"/>
    <w:rsid w:val="005245F8"/>
    <w:rsid w:val="00546F44"/>
    <w:rsid w:val="00555F25"/>
    <w:rsid w:val="00567144"/>
    <w:rsid w:val="0057227C"/>
    <w:rsid w:val="005843DD"/>
    <w:rsid w:val="00586B40"/>
    <w:rsid w:val="005979FB"/>
    <w:rsid w:val="005C5BC8"/>
    <w:rsid w:val="006846DB"/>
    <w:rsid w:val="00694345"/>
    <w:rsid w:val="006A3A9D"/>
    <w:rsid w:val="006A7DB3"/>
    <w:rsid w:val="006B640F"/>
    <w:rsid w:val="006E2AFB"/>
    <w:rsid w:val="006E6C79"/>
    <w:rsid w:val="0072144C"/>
    <w:rsid w:val="00744EAC"/>
    <w:rsid w:val="0075438A"/>
    <w:rsid w:val="0076077D"/>
    <w:rsid w:val="007A43EC"/>
    <w:rsid w:val="007F6ED8"/>
    <w:rsid w:val="008018F4"/>
    <w:rsid w:val="008168F4"/>
    <w:rsid w:val="00824A01"/>
    <w:rsid w:val="0085092D"/>
    <w:rsid w:val="00863D41"/>
    <w:rsid w:val="00877A6F"/>
    <w:rsid w:val="008B138F"/>
    <w:rsid w:val="008C07DA"/>
    <w:rsid w:val="0091133C"/>
    <w:rsid w:val="00925463"/>
    <w:rsid w:val="009317D3"/>
    <w:rsid w:val="00935A15"/>
    <w:rsid w:val="00937D68"/>
    <w:rsid w:val="00960D74"/>
    <w:rsid w:val="00973E69"/>
    <w:rsid w:val="00995A2D"/>
    <w:rsid w:val="009A297A"/>
    <w:rsid w:val="009A79F1"/>
    <w:rsid w:val="009B2EDC"/>
    <w:rsid w:val="00A2721F"/>
    <w:rsid w:val="00A27644"/>
    <w:rsid w:val="00A37F90"/>
    <w:rsid w:val="00A41C12"/>
    <w:rsid w:val="00A72E1D"/>
    <w:rsid w:val="00AC309D"/>
    <w:rsid w:val="00B05683"/>
    <w:rsid w:val="00B3526E"/>
    <w:rsid w:val="00B43FFA"/>
    <w:rsid w:val="00B6326E"/>
    <w:rsid w:val="00B70201"/>
    <w:rsid w:val="00B73C17"/>
    <w:rsid w:val="00B85552"/>
    <w:rsid w:val="00BF62EC"/>
    <w:rsid w:val="00C36152"/>
    <w:rsid w:val="00C57281"/>
    <w:rsid w:val="00C662EF"/>
    <w:rsid w:val="00C86496"/>
    <w:rsid w:val="00C95C7E"/>
    <w:rsid w:val="00CA3351"/>
    <w:rsid w:val="00CA390D"/>
    <w:rsid w:val="00CC0DCD"/>
    <w:rsid w:val="00D60EFA"/>
    <w:rsid w:val="00D6514E"/>
    <w:rsid w:val="00D86F33"/>
    <w:rsid w:val="00D90194"/>
    <w:rsid w:val="00DA5352"/>
    <w:rsid w:val="00DA62B4"/>
    <w:rsid w:val="00DB0B8F"/>
    <w:rsid w:val="00DB71D2"/>
    <w:rsid w:val="00E00454"/>
    <w:rsid w:val="00E20D2D"/>
    <w:rsid w:val="00E815A3"/>
    <w:rsid w:val="00E84AAB"/>
    <w:rsid w:val="00E976E6"/>
    <w:rsid w:val="00EA243F"/>
    <w:rsid w:val="00EA5490"/>
    <w:rsid w:val="00EE1B66"/>
    <w:rsid w:val="00EE66B7"/>
    <w:rsid w:val="00F07261"/>
    <w:rsid w:val="00F4230F"/>
    <w:rsid w:val="00F5287F"/>
    <w:rsid w:val="00F935BA"/>
    <w:rsid w:val="00F979AD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2388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7</cp:revision>
  <dcterms:created xsi:type="dcterms:W3CDTF">2024-03-04T10:08:00Z</dcterms:created>
  <dcterms:modified xsi:type="dcterms:W3CDTF">2024-03-08T16:27:00Z</dcterms:modified>
</cp:coreProperties>
</file>